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3" w:rsidRDefault="00F51833" w:rsidP="00F5183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9AA005E" wp14:editId="69DCFA7A">
            <wp:extent cx="2849127" cy="1229222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h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27" cy="12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5F" w:rsidRPr="00F51833" w:rsidRDefault="0055045F" w:rsidP="00440DCC">
      <w:pPr>
        <w:jc w:val="center"/>
        <w:rPr>
          <w:b/>
          <w:color w:val="548DD4" w:themeColor="text2" w:themeTint="99"/>
          <w:sz w:val="40"/>
          <w:szCs w:val="40"/>
        </w:rPr>
      </w:pPr>
      <w:r w:rsidRPr="00F51833">
        <w:rPr>
          <w:b/>
          <w:color w:val="548DD4" w:themeColor="text2" w:themeTint="99"/>
          <w:sz w:val="40"/>
          <w:szCs w:val="40"/>
        </w:rPr>
        <w:t>Policy on dea</w:t>
      </w:r>
      <w:r w:rsidR="00F51833" w:rsidRPr="00F51833">
        <w:rPr>
          <w:b/>
          <w:color w:val="548DD4" w:themeColor="text2" w:themeTint="99"/>
          <w:sz w:val="40"/>
          <w:szCs w:val="40"/>
        </w:rPr>
        <w:t>ling with Conflicts of Interest</w:t>
      </w:r>
    </w:p>
    <w:p w:rsidR="00F63B03" w:rsidRPr="00CF5BBF" w:rsidRDefault="0055045F">
      <w:pPr>
        <w:rPr>
          <w:b/>
        </w:rPr>
      </w:pPr>
      <w:r w:rsidRPr="00CF5BBF">
        <w:rPr>
          <w:b/>
        </w:rPr>
        <w:t>Definition of a conflict of interest</w:t>
      </w:r>
      <w:r w:rsidR="00F63B03" w:rsidRPr="00CF5BBF">
        <w:rPr>
          <w:b/>
        </w:rPr>
        <w:t>:</w:t>
      </w:r>
    </w:p>
    <w:p w:rsidR="0055045F" w:rsidRDefault="0055045F" w:rsidP="00F63B03">
      <w:pPr>
        <w:ind w:left="720"/>
      </w:pPr>
      <w:proofErr w:type="gramStart"/>
      <w:r>
        <w:t>any</w:t>
      </w:r>
      <w:proofErr w:type="gramEnd"/>
      <w:r>
        <w:t xml:space="preserve"> possibility that your personal or wider interests could influence your decision making.</w:t>
      </w:r>
    </w:p>
    <w:p w:rsidR="00F63B03" w:rsidRPr="00CF5BBF" w:rsidRDefault="00F63B03">
      <w:pPr>
        <w:rPr>
          <w:b/>
        </w:rPr>
      </w:pPr>
      <w:r w:rsidRPr="00CF5BBF">
        <w:rPr>
          <w:b/>
        </w:rPr>
        <w:t xml:space="preserve">How to identify a conflict of interest: </w:t>
      </w:r>
    </w:p>
    <w:p w:rsidR="00F63B03" w:rsidRDefault="00864627" w:rsidP="00CF5BBF">
      <w:pPr>
        <w:ind w:left="720"/>
      </w:pPr>
      <w:r w:rsidRPr="00864627">
        <w:t>The trust deed which governs the charity, Quainton Memorial Hall, states that no trustee may receive any benefit in money or kind from the Charity, or have a financial interest in the supply of goods or services to the charity, or acquire or hold any interest in the property of the charity.</w:t>
      </w:r>
    </w:p>
    <w:p w:rsidR="00F63B03" w:rsidRPr="00CF5BBF" w:rsidRDefault="00F63B03" w:rsidP="00F63B03">
      <w:pPr>
        <w:rPr>
          <w:b/>
        </w:rPr>
      </w:pPr>
      <w:r w:rsidRPr="00CF5BBF">
        <w:rPr>
          <w:b/>
        </w:rPr>
        <w:t>Disclosure of conflicts of interest</w:t>
      </w:r>
    </w:p>
    <w:p w:rsidR="0055045F" w:rsidRDefault="0055045F" w:rsidP="00F63B03">
      <w:pPr>
        <w:ind w:firstLine="720"/>
      </w:pPr>
      <w:r>
        <w:t>All trustees are required to identify and disclose conflicts of interest.</w:t>
      </w:r>
    </w:p>
    <w:p w:rsidR="00F63B03" w:rsidRDefault="00F63B03" w:rsidP="00CF5BBF">
      <w:pPr>
        <w:ind w:left="720"/>
      </w:pPr>
      <w:r>
        <w:t xml:space="preserve">All new trustees will be asked to disclose any conflicts of interest when they are appointed. </w:t>
      </w:r>
    </w:p>
    <w:p w:rsidR="00F63B03" w:rsidRPr="00CF5BBF" w:rsidRDefault="00F63B03">
      <w:pPr>
        <w:rPr>
          <w:b/>
        </w:rPr>
      </w:pPr>
      <w:r w:rsidRPr="00CF5BBF">
        <w:rPr>
          <w:b/>
        </w:rPr>
        <w:t>Written records</w:t>
      </w:r>
    </w:p>
    <w:p w:rsidR="0055045F" w:rsidRDefault="0055045F" w:rsidP="00F63B03">
      <w:pPr>
        <w:ind w:left="720"/>
      </w:pPr>
      <w:r>
        <w:t>The secretary of Quainton Memorial Hall will maintain a written register of interests.</w:t>
      </w:r>
    </w:p>
    <w:p w:rsidR="0055045F" w:rsidRDefault="0055045F" w:rsidP="00F63B03">
      <w:pPr>
        <w:ind w:left="720"/>
      </w:pPr>
      <w:r>
        <w:t>Each committee meeting will have a standard agenda item at the beginning of each meeting to allow trustees to declare any actual or potential conflicts of interest.</w:t>
      </w:r>
    </w:p>
    <w:p w:rsidR="0055045F" w:rsidRDefault="0055045F" w:rsidP="00F63B03">
      <w:pPr>
        <w:ind w:left="720"/>
      </w:pPr>
      <w:r>
        <w:t>The minutes of the meeting shall record any conflict of interest and how it was dealt with. The record shall include:</w:t>
      </w:r>
    </w:p>
    <w:p w:rsidR="0055045F" w:rsidRDefault="0055045F" w:rsidP="00F63B03">
      <w:pPr>
        <w:pStyle w:val="ListParagraph"/>
        <w:numPr>
          <w:ilvl w:val="1"/>
          <w:numId w:val="1"/>
        </w:numPr>
      </w:pPr>
      <w:r>
        <w:t>The nature of the conflict of Interest</w:t>
      </w:r>
    </w:p>
    <w:p w:rsidR="0055045F" w:rsidRDefault="0055045F" w:rsidP="00F63B03">
      <w:pPr>
        <w:pStyle w:val="ListParagraph"/>
        <w:numPr>
          <w:ilvl w:val="1"/>
          <w:numId w:val="1"/>
        </w:numPr>
      </w:pPr>
      <w:r>
        <w:t>Which trustee or trustees were affected</w:t>
      </w:r>
    </w:p>
    <w:p w:rsidR="0055045F" w:rsidRDefault="0055045F" w:rsidP="00F63B03">
      <w:pPr>
        <w:pStyle w:val="ListParagraph"/>
        <w:numPr>
          <w:ilvl w:val="1"/>
          <w:numId w:val="1"/>
        </w:numPr>
      </w:pPr>
      <w:r>
        <w:t>If th</w:t>
      </w:r>
      <w:r w:rsidR="00E0677A">
        <w:t>e conflict of interest was decl</w:t>
      </w:r>
      <w:r>
        <w:t>ared in</w:t>
      </w:r>
      <w:r w:rsidR="00E0677A">
        <w:t xml:space="preserve"> </w:t>
      </w:r>
      <w:r>
        <w:t>advance</w:t>
      </w:r>
    </w:p>
    <w:p w:rsidR="0055045F" w:rsidRDefault="0055045F" w:rsidP="00F63B03">
      <w:pPr>
        <w:pStyle w:val="ListParagraph"/>
        <w:numPr>
          <w:ilvl w:val="1"/>
          <w:numId w:val="1"/>
        </w:numPr>
      </w:pPr>
      <w:r>
        <w:t>An outline of the discussion</w:t>
      </w:r>
    </w:p>
    <w:p w:rsidR="0055045F" w:rsidRDefault="0055045F" w:rsidP="00F63B03">
      <w:pPr>
        <w:pStyle w:val="ListParagraph"/>
        <w:numPr>
          <w:ilvl w:val="1"/>
          <w:numId w:val="1"/>
        </w:numPr>
      </w:pPr>
      <w:r>
        <w:t>If anyone withdrew from the discussion</w:t>
      </w:r>
    </w:p>
    <w:p w:rsidR="0055045F" w:rsidRDefault="0055045F" w:rsidP="00CF5BBF">
      <w:pPr>
        <w:pStyle w:val="ListParagraph"/>
        <w:numPr>
          <w:ilvl w:val="1"/>
          <w:numId w:val="1"/>
        </w:numPr>
      </w:pPr>
      <w:r>
        <w:t>How the trustees made the decision in the best interests of Quainton Memorial Hall.</w:t>
      </w:r>
    </w:p>
    <w:p w:rsidR="0055045F" w:rsidRPr="00CF5BBF" w:rsidRDefault="0055045F">
      <w:pPr>
        <w:rPr>
          <w:b/>
        </w:rPr>
      </w:pPr>
      <w:r w:rsidRPr="00CF5BBF">
        <w:rPr>
          <w:b/>
        </w:rPr>
        <w:lastRenderedPageBreak/>
        <w:t>How to deal with a conflict of interest:</w:t>
      </w:r>
    </w:p>
    <w:p w:rsidR="00E0677A" w:rsidRDefault="00E9519A" w:rsidP="00E0677A">
      <w:pPr>
        <w:ind w:left="720"/>
      </w:pPr>
      <w:r>
        <w:t xml:space="preserve">During meetings of the trustees, </w:t>
      </w:r>
      <w:r w:rsidR="00E0677A">
        <w:t xml:space="preserve">the trustee(s) with the conflict of interest </w:t>
      </w:r>
      <w:r>
        <w:t xml:space="preserve">will be asked </w:t>
      </w:r>
      <w:r w:rsidR="00E0677A">
        <w:t xml:space="preserve">to withdraw from the </w:t>
      </w:r>
      <w:r w:rsidR="00864627">
        <w:t xml:space="preserve">relevant </w:t>
      </w:r>
      <w:r w:rsidR="00E0677A">
        <w:t xml:space="preserve">discussion and vote on issues </w:t>
      </w:r>
      <w:r>
        <w:t xml:space="preserve">with </w:t>
      </w:r>
      <w:r w:rsidR="00E0677A">
        <w:t xml:space="preserve">which they have a conflict of interest. </w:t>
      </w:r>
    </w:p>
    <w:p w:rsidR="00F63B03" w:rsidRDefault="00864627" w:rsidP="00CF5BBF">
      <w:pPr>
        <w:ind w:left="720"/>
      </w:pPr>
      <w:r>
        <w:t>Any</w:t>
      </w:r>
      <w:r w:rsidR="00E0677A">
        <w:t xml:space="preserve"> discussions with the trustee(s) and the conflict of interest </w:t>
      </w:r>
      <w:r w:rsidR="00E0677A" w:rsidRPr="00E0677A">
        <w:t>which take place outside of the meeting</w:t>
      </w:r>
      <w:r>
        <w:t xml:space="preserve"> will be notified to the secretary and recorded</w:t>
      </w:r>
      <w:r w:rsidR="00E0677A">
        <w:t xml:space="preserve">. </w:t>
      </w:r>
    </w:p>
    <w:p w:rsidR="00F63B03" w:rsidRPr="00CF5BBF" w:rsidRDefault="00F63B03">
      <w:pPr>
        <w:rPr>
          <w:b/>
        </w:rPr>
      </w:pPr>
      <w:r w:rsidRPr="00CF5BBF">
        <w:rPr>
          <w:b/>
        </w:rPr>
        <w:t>Payments to Trustees</w:t>
      </w:r>
    </w:p>
    <w:p w:rsidR="00F63B03" w:rsidRDefault="00F63B03" w:rsidP="00F63B03">
      <w:pPr>
        <w:ind w:firstLine="720"/>
      </w:pPr>
      <w:r>
        <w:t>All payments made to trustees will be recorded by the treasurer.</w:t>
      </w:r>
      <w:r w:rsidR="002679F8">
        <w:t xml:space="preserve"> </w:t>
      </w:r>
    </w:p>
    <w:p w:rsidR="00CF5BBF" w:rsidRDefault="00CF5BBF" w:rsidP="00F63B03">
      <w:pPr>
        <w:ind w:firstLine="720"/>
      </w:pPr>
    </w:p>
    <w:p w:rsidR="00CF5BBF" w:rsidRPr="00CF5BBF" w:rsidRDefault="00CF5BBF" w:rsidP="00CF5BBF">
      <w:pPr>
        <w:spacing w:after="0" w:line="240" w:lineRule="auto"/>
        <w:rPr>
          <w:rFonts w:eastAsia="ヒラギノ角ゴ Pro W3" w:cs="Times New Roman"/>
          <w:szCs w:val="24"/>
        </w:rPr>
      </w:pPr>
      <w:r w:rsidRPr="00CF5BBF">
        <w:rPr>
          <w:rFonts w:eastAsia="ヒラギノ角ゴ Pro W3" w:cs="Times New Roman"/>
          <w:szCs w:val="24"/>
        </w:rPr>
        <w:t>Adopted on: 15 November 2016</w:t>
      </w:r>
    </w:p>
    <w:p w:rsidR="00CF5BBF" w:rsidRPr="00CF5BBF" w:rsidRDefault="00CF5BBF" w:rsidP="00CF5BBF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:rsidR="00CF5BBF" w:rsidRPr="00CF5BBF" w:rsidRDefault="00CF5BBF" w:rsidP="00CF5BBF">
      <w:pPr>
        <w:spacing w:after="0" w:line="240" w:lineRule="auto"/>
        <w:rPr>
          <w:rFonts w:eastAsia="ヒラギノ角ゴ Pro W3" w:cs="Times New Roman"/>
          <w:szCs w:val="24"/>
        </w:rPr>
      </w:pPr>
      <w:r w:rsidRPr="00CF5BBF">
        <w:rPr>
          <w:rFonts w:eastAsia="ヒラギノ角ゴ Pro W3" w:cs="Times New Roman"/>
          <w:color w:val="000000"/>
          <w:szCs w:val="24"/>
        </w:rPr>
        <w:t xml:space="preserve">Last </w:t>
      </w:r>
      <w:proofErr w:type="gramStart"/>
      <w:r w:rsidRPr="00CF5BBF">
        <w:rPr>
          <w:rFonts w:eastAsia="ヒラギノ角ゴ Pro W3" w:cs="Times New Roman"/>
          <w:color w:val="000000"/>
          <w:szCs w:val="24"/>
        </w:rPr>
        <w:t>reviewed</w:t>
      </w:r>
      <w:r w:rsidRPr="00CF5BBF">
        <w:rPr>
          <w:rFonts w:eastAsia="ヒラギノ角ゴ Pro W3" w:cs="Times New Roman"/>
          <w:szCs w:val="24"/>
        </w:rPr>
        <w:t xml:space="preserve"> </w:t>
      </w:r>
      <w:r w:rsidR="00D95BE0">
        <w:rPr>
          <w:rFonts w:eastAsia="ヒラギノ角ゴ Pro W3" w:cs="Times New Roman"/>
          <w:szCs w:val="24"/>
        </w:rPr>
        <w:t xml:space="preserve"> </w:t>
      </w:r>
      <w:r w:rsidR="000F232E">
        <w:rPr>
          <w:rFonts w:eastAsia="ヒラギノ角ゴ Pro W3" w:cs="Times New Roman"/>
          <w:szCs w:val="24"/>
        </w:rPr>
        <w:t>March</w:t>
      </w:r>
      <w:proofErr w:type="gramEnd"/>
      <w:r w:rsidR="000F232E">
        <w:rPr>
          <w:rFonts w:eastAsia="ヒラギノ角ゴ Pro W3" w:cs="Times New Roman"/>
          <w:szCs w:val="24"/>
        </w:rPr>
        <w:t xml:space="preserve"> 202</w:t>
      </w:r>
      <w:bookmarkStart w:id="0" w:name="_GoBack"/>
      <w:r w:rsidR="00830893">
        <w:rPr>
          <w:rFonts w:eastAsia="ヒラギノ角ゴ Pro W3" w:cs="Times New Roman"/>
          <w:szCs w:val="24"/>
        </w:rPr>
        <w:t>2</w:t>
      </w:r>
      <w:bookmarkEnd w:id="0"/>
    </w:p>
    <w:p w:rsidR="00CF5BBF" w:rsidRPr="00CF5BBF" w:rsidRDefault="00CF5BBF" w:rsidP="00CF5BBF">
      <w:pPr>
        <w:spacing w:after="0" w:line="240" w:lineRule="auto"/>
        <w:rPr>
          <w:rFonts w:eastAsia="ヒラギノ角ゴ Pro W3" w:cs="Times New Roman"/>
          <w:szCs w:val="24"/>
        </w:rPr>
      </w:pPr>
    </w:p>
    <w:p w:rsidR="00CF5BBF" w:rsidRDefault="00CF5BBF" w:rsidP="00CF5BBF">
      <w:pPr>
        <w:spacing w:after="0" w:line="240" w:lineRule="auto"/>
        <w:rPr>
          <w:rFonts w:eastAsia="ヒラギノ角ゴ Pro W3" w:cs="Times New Roman"/>
          <w:szCs w:val="24"/>
        </w:rPr>
      </w:pPr>
      <w:r w:rsidRPr="00CF5BBF">
        <w:rPr>
          <w:rFonts w:eastAsia="ヒラギノ角ゴ Pro W3" w:cs="Times New Roman"/>
          <w:color w:val="000000"/>
          <w:szCs w:val="24"/>
        </w:rPr>
        <w:t>Next review due</w:t>
      </w:r>
      <w:r w:rsidR="000E7BFD">
        <w:rPr>
          <w:rFonts w:eastAsia="ヒラギノ角ゴ Pro W3" w:cs="Times New Roman"/>
          <w:szCs w:val="24"/>
        </w:rPr>
        <w:t xml:space="preserve">: </w:t>
      </w:r>
      <w:r w:rsidR="000F232E">
        <w:rPr>
          <w:rFonts w:eastAsia="ヒラギノ角ゴ Pro W3" w:cs="Times New Roman"/>
          <w:szCs w:val="24"/>
        </w:rPr>
        <w:t>March 202</w:t>
      </w:r>
      <w:r w:rsidR="00830893">
        <w:rPr>
          <w:rFonts w:eastAsia="ヒラギノ角ゴ Pro W3" w:cs="Times New Roman"/>
          <w:szCs w:val="24"/>
        </w:rPr>
        <w:t>3</w:t>
      </w:r>
    </w:p>
    <w:p w:rsidR="00F859A5" w:rsidRDefault="00F859A5" w:rsidP="00CF5BBF">
      <w:pPr>
        <w:spacing w:after="0" w:line="240" w:lineRule="auto"/>
        <w:rPr>
          <w:rFonts w:eastAsia="ヒラギノ角ゴ Pro W3" w:cs="Times New Roman"/>
          <w:szCs w:val="24"/>
        </w:rPr>
      </w:pPr>
    </w:p>
    <w:p w:rsidR="00F859A5" w:rsidRDefault="00F859A5" w:rsidP="00CF5BBF">
      <w:pPr>
        <w:spacing w:after="0" w:line="240" w:lineRule="auto"/>
        <w:rPr>
          <w:rFonts w:eastAsia="ヒラギノ角ゴ Pro W3" w:cs="Times New Roman"/>
          <w:szCs w:val="24"/>
        </w:rPr>
      </w:pPr>
      <w:r>
        <w:rPr>
          <w:rFonts w:eastAsia="ヒラギノ角ゴ Pro W3" w:cs="Times New Roman"/>
          <w:szCs w:val="24"/>
        </w:rPr>
        <w:t>Table of amendments</w:t>
      </w:r>
    </w:p>
    <w:p w:rsidR="00F859A5" w:rsidRDefault="00F859A5" w:rsidP="00CF5BBF">
      <w:pPr>
        <w:spacing w:after="0" w:line="240" w:lineRule="auto"/>
        <w:rPr>
          <w:rFonts w:eastAsia="ヒラギノ角ゴ Pro W3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5667"/>
      </w:tblGrid>
      <w:tr w:rsidR="00F859A5" w:rsidTr="00FE22B3">
        <w:tc>
          <w:tcPr>
            <w:tcW w:w="3088" w:type="dxa"/>
          </w:tcPr>
          <w:p w:rsidR="00F859A5" w:rsidRDefault="00F859A5" w:rsidP="00FE22B3">
            <w:r>
              <w:t>Date</w:t>
            </w:r>
          </w:p>
        </w:tc>
        <w:tc>
          <w:tcPr>
            <w:tcW w:w="5667" w:type="dxa"/>
          </w:tcPr>
          <w:p w:rsidR="00F859A5" w:rsidRDefault="00F859A5" w:rsidP="00FE22B3">
            <w:r>
              <w:t>Amendment</w:t>
            </w:r>
          </w:p>
        </w:tc>
      </w:tr>
      <w:tr w:rsidR="00F859A5" w:rsidTr="00FE22B3">
        <w:tc>
          <w:tcPr>
            <w:tcW w:w="3088" w:type="dxa"/>
          </w:tcPr>
          <w:p w:rsidR="00F859A5" w:rsidRDefault="00F859A5" w:rsidP="00FE22B3">
            <w:r>
              <w:t>28 November 2017</w:t>
            </w:r>
          </w:p>
        </w:tc>
        <w:tc>
          <w:tcPr>
            <w:tcW w:w="5667" w:type="dxa"/>
          </w:tcPr>
          <w:p w:rsidR="00F859A5" w:rsidRDefault="00F859A5" w:rsidP="00FE22B3">
            <w:r>
              <w:t>No amends required</w:t>
            </w:r>
          </w:p>
        </w:tc>
      </w:tr>
      <w:tr w:rsidR="00712717" w:rsidTr="00FE22B3">
        <w:tc>
          <w:tcPr>
            <w:tcW w:w="3088" w:type="dxa"/>
          </w:tcPr>
          <w:p w:rsidR="00712717" w:rsidRDefault="00712717" w:rsidP="00FE22B3">
            <w:r>
              <w:t>20 November 2018</w:t>
            </w:r>
          </w:p>
        </w:tc>
        <w:tc>
          <w:tcPr>
            <w:tcW w:w="5667" w:type="dxa"/>
          </w:tcPr>
          <w:p w:rsidR="00712717" w:rsidRDefault="00712717" w:rsidP="00FE22B3">
            <w:r>
              <w:t>No amends required</w:t>
            </w:r>
          </w:p>
        </w:tc>
      </w:tr>
      <w:tr w:rsidR="00F40221" w:rsidTr="00FE22B3">
        <w:tc>
          <w:tcPr>
            <w:tcW w:w="3088" w:type="dxa"/>
          </w:tcPr>
          <w:p w:rsidR="00F40221" w:rsidRDefault="00F40221" w:rsidP="00FE22B3">
            <w:r>
              <w:t>19 November 2019</w:t>
            </w:r>
          </w:p>
        </w:tc>
        <w:tc>
          <w:tcPr>
            <w:tcW w:w="5667" w:type="dxa"/>
          </w:tcPr>
          <w:p w:rsidR="00F40221" w:rsidRDefault="00F40221" w:rsidP="00FE22B3">
            <w:r>
              <w:t>No amends required</w:t>
            </w:r>
          </w:p>
        </w:tc>
      </w:tr>
      <w:tr w:rsidR="000F232E" w:rsidTr="00FE22B3">
        <w:tc>
          <w:tcPr>
            <w:tcW w:w="3088" w:type="dxa"/>
          </w:tcPr>
          <w:p w:rsidR="000F232E" w:rsidRDefault="000F232E" w:rsidP="00FE22B3">
            <w:r>
              <w:t>16 March 2021</w:t>
            </w:r>
          </w:p>
        </w:tc>
        <w:tc>
          <w:tcPr>
            <w:tcW w:w="5667" w:type="dxa"/>
          </w:tcPr>
          <w:p w:rsidR="00830893" w:rsidRDefault="000F232E" w:rsidP="00FE22B3">
            <w:r>
              <w:t>No amends required</w:t>
            </w:r>
          </w:p>
        </w:tc>
      </w:tr>
      <w:tr w:rsidR="00830893" w:rsidTr="00FE22B3">
        <w:tc>
          <w:tcPr>
            <w:tcW w:w="3088" w:type="dxa"/>
          </w:tcPr>
          <w:p w:rsidR="00830893" w:rsidRDefault="00830893" w:rsidP="00FE22B3">
            <w:r>
              <w:t>12 March 2022</w:t>
            </w:r>
          </w:p>
        </w:tc>
        <w:tc>
          <w:tcPr>
            <w:tcW w:w="5667" w:type="dxa"/>
          </w:tcPr>
          <w:p w:rsidR="00830893" w:rsidRDefault="00830893" w:rsidP="00FE22B3">
            <w:r>
              <w:t>No amends required</w:t>
            </w:r>
          </w:p>
        </w:tc>
      </w:tr>
    </w:tbl>
    <w:p w:rsidR="00F859A5" w:rsidRPr="00CF5BBF" w:rsidRDefault="00F859A5" w:rsidP="00F859A5">
      <w:pPr>
        <w:spacing w:after="0" w:line="240" w:lineRule="auto"/>
        <w:rPr>
          <w:rFonts w:eastAsia="ヒラギノ角ゴ Pro W3" w:cs="Times New Roman"/>
          <w:szCs w:val="24"/>
        </w:rPr>
      </w:pPr>
    </w:p>
    <w:sectPr w:rsidR="00F859A5" w:rsidRPr="00CF5BBF" w:rsidSect="002111BB">
      <w:pgSz w:w="11906" w:h="16838"/>
      <w:pgMar w:top="1418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2C6"/>
    <w:multiLevelType w:val="hybridMultilevel"/>
    <w:tmpl w:val="840E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1"/>
    <w:rsid w:val="000E7BFD"/>
    <w:rsid w:val="000F232E"/>
    <w:rsid w:val="002111BB"/>
    <w:rsid w:val="002679F8"/>
    <w:rsid w:val="00440DCC"/>
    <w:rsid w:val="0055045F"/>
    <w:rsid w:val="005A0E68"/>
    <w:rsid w:val="00712717"/>
    <w:rsid w:val="00830893"/>
    <w:rsid w:val="00864627"/>
    <w:rsid w:val="0091526D"/>
    <w:rsid w:val="00AA3D0C"/>
    <w:rsid w:val="00AC0E71"/>
    <w:rsid w:val="00CF5BBF"/>
    <w:rsid w:val="00D95BE0"/>
    <w:rsid w:val="00E0677A"/>
    <w:rsid w:val="00E9519A"/>
    <w:rsid w:val="00ED52A1"/>
    <w:rsid w:val="00F40221"/>
    <w:rsid w:val="00F51833"/>
    <w:rsid w:val="00F63B03"/>
    <w:rsid w:val="00F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Heirons</dc:creator>
  <cp:lastModifiedBy>Melanie Curtis</cp:lastModifiedBy>
  <cp:revision>5</cp:revision>
  <dcterms:created xsi:type="dcterms:W3CDTF">2021-07-11T15:24:00Z</dcterms:created>
  <dcterms:modified xsi:type="dcterms:W3CDTF">2022-03-18T15:15:00Z</dcterms:modified>
</cp:coreProperties>
</file>