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D3B240" w14:textId="77777777" w:rsidR="00F51833" w:rsidRDefault="00F51833" w:rsidP="0014392F">
      <w:pPr>
        <w:spacing w:after="0" w:line="240" w:lineRule="auto"/>
        <w:jc w:val="center"/>
        <w:rPr>
          <w:b/>
        </w:rPr>
      </w:pPr>
      <w:bookmarkStart w:id="0" w:name="_GoBack"/>
      <w:bookmarkEnd w:id="0"/>
      <w:r>
        <w:rPr>
          <w:b/>
          <w:noProof/>
          <w:lang w:eastAsia="en-GB"/>
        </w:rPr>
        <w:drawing>
          <wp:inline distT="0" distB="0" distL="0" distR="0" wp14:anchorId="366D453F" wp14:editId="19064EB1">
            <wp:extent cx="2849127" cy="1229222"/>
            <wp:effectExtent l="0" t="0" r="889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mh1.png"/>
                    <pic:cNvPicPr/>
                  </pic:nvPicPr>
                  <pic:blipFill>
                    <a:blip r:embed="rId6">
                      <a:extLst>
                        <a:ext uri="{28A0092B-C50C-407E-A947-70E740481C1C}">
                          <a14:useLocalDpi xmlns:a14="http://schemas.microsoft.com/office/drawing/2010/main" val="0"/>
                        </a:ext>
                      </a:extLst>
                    </a:blip>
                    <a:stretch>
                      <a:fillRect/>
                    </a:stretch>
                  </pic:blipFill>
                  <pic:spPr>
                    <a:xfrm>
                      <a:off x="0" y="0"/>
                      <a:ext cx="2849127" cy="1229222"/>
                    </a:xfrm>
                    <a:prstGeom prst="rect">
                      <a:avLst/>
                    </a:prstGeom>
                  </pic:spPr>
                </pic:pic>
              </a:graphicData>
            </a:graphic>
          </wp:inline>
        </w:drawing>
      </w:r>
    </w:p>
    <w:p w14:paraId="126A1BC4" w14:textId="32D2F203" w:rsidR="0055045F" w:rsidRDefault="0055045F" w:rsidP="0014392F">
      <w:pPr>
        <w:spacing w:after="0" w:line="240" w:lineRule="auto"/>
        <w:jc w:val="center"/>
        <w:rPr>
          <w:b/>
          <w:color w:val="548DD4" w:themeColor="text2" w:themeTint="99"/>
          <w:sz w:val="40"/>
          <w:szCs w:val="40"/>
        </w:rPr>
      </w:pPr>
      <w:r w:rsidRPr="00F51833">
        <w:rPr>
          <w:b/>
          <w:color w:val="548DD4" w:themeColor="text2" w:themeTint="99"/>
          <w:sz w:val="40"/>
          <w:szCs w:val="40"/>
        </w:rPr>
        <w:t xml:space="preserve">Policy on </w:t>
      </w:r>
      <w:r w:rsidR="00FA61B5">
        <w:rPr>
          <w:b/>
          <w:color w:val="548DD4" w:themeColor="text2" w:themeTint="99"/>
          <w:sz w:val="40"/>
          <w:szCs w:val="40"/>
        </w:rPr>
        <w:t xml:space="preserve">the </w:t>
      </w:r>
      <w:r w:rsidR="0012044A">
        <w:rPr>
          <w:b/>
          <w:color w:val="548DD4" w:themeColor="text2" w:themeTint="99"/>
          <w:sz w:val="40"/>
          <w:szCs w:val="40"/>
        </w:rPr>
        <w:t>S</w:t>
      </w:r>
      <w:r w:rsidR="00FA61B5">
        <w:rPr>
          <w:b/>
          <w:color w:val="548DD4" w:themeColor="text2" w:themeTint="99"/>
          <w:sz w:val="40"/>
          <w:szCs w:val="40"/>
        </w:rPr>
        <w:t xml:space="preserve">etting of </w:t>
      </w:r>
      <w:r w:rsidR="00A871B2">
        <w:rPr>
          <w:b/>
          <w:color w:val="548DD4" w:themeColor="text2" w:themeTint="99"/>
          <w:sz w:val="40"/>
          <w:szCs w:val="40"/>
        </w:rPr>
        <w:t>Hire Charges</w:t>
      </w:r>
    </w:p>
    <w:p w14:paraId="3CC1756A" w14:textId="77777777" w:rsidR="0014392F" w:rsidRDefault="0014392F" w:rsidP="0014392F">
      <w:pPr>
        <w:spacing w:after="0" w:line="240" w:lineRule="auto"/>
        <w:rPr>
          <w:b/>
          <w:szCs w:val="24"/>
        </w:rPr>
      </w:pPr>
    </w:p>
    <w:p w14:paraId="1D7C1206" w14:textId="4D8D31EF" w:rsidR="00FA61B5" w:rsidRDefault="00FA61B5" w:rsidP="0014392F">
      <w:pPr>
        <w:spacing w:after="0" w:line="240" w:lineRule="auto"/>
        <w:rPr>
          <w:b/>
          <w:szCs w:val="24"/>
        </w:rPr>
      </w:pPr>
      <w:r w:rsidRPr="0036258B">
        <w:rPr>
          <w:b/>
          <w:szCs w:val="24"/>
        </w:rPr>
        <w:t xml:space="preserve">The </w:t>
      </w:r>
      <w:r>
        <w:rPr>
          <w:b/>
          <w:szCs w:val="24"/>
        </w:rPr>
        <w:t xml:space="preserve">Setting </w:t>
      </w:r>
      <w:r w:rsidR="00A871B2">
        <w:rPr>
          <w:b/>
          <w:szCs w:val="24"/>
        </w:rPr>
        <w:t>of Hire Charges</w:t>
      </w:r>
    </w:p>
    <w:p w14:paraId="0CA99AA2" w14:textId="77777777" w:rsidR="0014392F" w:rsidRDefault="0014392F" w:rsidP="0014392F">
      <w:pPr>
        <w:spacing w:after="0" w:line="240" w:lineRule="auto"/>
        <w:rPr>
          <w:bCs/>
          <w:szCs w:val="24"/>
        </w:rPr>
      </w:pPr>
    </w:p>
    <w:p w14:paraId="23D09418" w14:textId="64C24A4F" w:rsidR="00FA61B5" w:rsidRDefault="00FA61B5" w:rsidP="0014392F">
      <w:pPr>
        <w:spacing w:after="0" w:line="240" w:lineRule="auto"/>
        <w:rPr>
          <w:bCs/>
          <w:szCs w:val="24"/>
        </w:rPr>
      </w:pPr>
      <w:r w:rsidRPr="0036258B">
        <w:rPr>
          <w:bCs/>
          <w:szCs w:val="24"/>
        </w:rPr>
        <w:t xml:space="preserve">The </w:t>
      </w:r>
      <w:r>
        <w:rPr>
          <w:bCs/>
          <w:szCs w:val="24"/>
        </w:rPr>
        <w:t xml:space="preserve">committee sets the levels of </w:t>
      </w:r>
      <w:r w:rsidR="00A871B2">
        <w:rPr>
          <w:bCs/>
          <w:szCs w:val="24"/>
        </w:rPr>
        <w:t>hire charges</w:t>
      </w:r>
      <w:r>
        <w:rPr>
          <w:bCs/>
          <w:szCs w:val="24"/>
        </w:rPr>
        <w:t xml:space="preserve">, </w:t>
      </w:r>
      <w:r w:rsidR="0012044A">
        <w:rPr>
          <w:bCs/>
          <w:szCs w:val="24"/>
        </w:rPr>
        <w:t xml:space="preserve">after considering </w:t>
      </w:r>
      <w:r>
        <w:rPr>
          <w:bCs/>
          <w:szCs w:val="24"/>
        </w:rPr>
        <w:t xml:space="preserve">the need to cover the levels of expenditure in running the hall, the need to provide finance for future repairs and maintenance, </w:t>
      </w:r>
      <w:r w:rsidR="00A871B2">
        <w:rPr>
          <w:bCs/>
          <w:szCs w:val="24"/>
        </w:rPr>
        <w:t xml:space="preserve">the </w:t>
      </w:r>
      <w:r>
        <w:rPr>
          <w:bCs/>
          <w:szCs w:val="24"/>
        </w:rPr>
        <w:t>market rates for hire charges of similar facilities in the surrounding areas</w:t>
      </w:r>
      <w:r w:rsidR="0012044A">
        <w:rPr>
          <w:bCs/>
          <w:szCs w:val="24"/>
        </w:rPr>
        <w:t xml:space="preserve">, </w:t>
      </w:r>
      <w:r w:rsidR="00E84366">
        <w:rPr>
          <w:bCs/>
          <w:szCs w:val="24"/>
        </w:rPr>
        <w:t>the general affordability of the charges</w:t>
      </w:r>
      <w:r w:rsidR="0012044A">
        <w:rPr>
          <w:bCs/>
          <w:szCs w:val="24"/>
        </w:rPr>
        <w:t xml:space="preserve"> and any other factor that they, at their absolute discretion, deem to be </w:t>
      </w:r>
      <w:r w:rsidR="00E255F5">
        <w:rPr>
          <w:bCs/>
          <w:szCs w:val="24"/>
        </w:rPr>
        <w:t>relevant</w:t>
      </w:r>
      <w:r>
        <w:rPr>
          <w:bCs/>
          <w:szCs w:val="24"/>
        </w:rPr>
        <w:t xml:space="preserve">. </w:t>
      </w:r>
    </w:p>
    <w:p w14:paraId="04D3296C" w14:textId="77777777" w:rsidR="0014392F" w:rsidRDefault="0014392F" w:rsidP="0014392F">
      <w:pPr>
        <w:spacing w:after="0" w:line="240" w:lineRule="auto"/>
        <w:rPr>
          <w:bCs/>
          <w:szCs w:val="24"/>
        </w:rPr>
      </w:pPr>
    </w:p>
    <w:p w14:paraId="1786860F" w14:textId="0FAEE19B" w:rsidR="00FA61B5" w:rsidRDefault="00FA61B5" w:rsidP="0014392F">
      <w:pPr>
        <w:spacing w:after="0" w:line="240" w:lineRule="auto"/>
        <w:rPr>
          <w:bCs/>
          <w:szCs w:val="24"/>
        </w:rPr>
      </w:pPr>
      <w:r>
        <w:rPr>
          <w:bCs/>
          <w:szCs w:val="24"/>
        </w:rPr>
        <w:t>It is recognised that a significant factor i</w:t>
      </w:r>
      <w:r w:rsidR="00A55C73">
        <w:rPr>
          <w:bCs/>
          <w:szCs w:val="24"/>
        </w:rPr>
        <w:t xml:space="preserve">n </w:t>
      </w:r>
      <w:r>
        <w:rPr>
          <w:bCs/>
          <w:szCs w:val="24"/>
        </w:rPr>
        <w:t>s</w:t>
      </w:r>
      <w:r w:rsidR="00A55C73">
        <w:rPr>
          <w:bCs/>
          <w:szCs w:val="24"/>
        </w:rPr>
        <w:t>etting hire charges is</w:t>
      </w:r>
      <w:r>
        <w:rPr>
          <w:bCs/>
          <w:szCs w:val="24"/>
        </w:rPr>
        <w:t xml:space="preserve"> the need to enable members of the local community to benefit from the community facility. </w:t>
      </w:r>
    </w:p>
    <w:p w14:paraId="02D55338" w14:textId="77777777" w:rsidR="0014392F" w:rsidRDefault="0014392F" w:rsidP="0014392F">
      <w:pPr>
        <w:spacing w:after="0" w:line="240" w:lineRule="auto"/>
        <w:rPr>
          <w:bCs/>
          <w:szCs w:val="24"/>
        </w:rPr>
      </w:pPr>
    </w:p>
    <w:p w14:paraId="65C22659" w14:textId="33E8BE32" w:rsidR="00A871B2" w:rsidRDefault="00A871B2" w:rsidP="0014392F">
      <w:pPr>
        <w:spacing w:after="0" w:line="240" w:lineRule="auto"/>
        <w:rPr>
          <w:bCs/>
          <w:szCs w:val="24"/>
        </w:rPr>
      </w:pPr>
      <w:r>
        <w:rPr>
          <w:bCs/>
          <w:szCs w:val="24"/>
        </w:rPr>
        <w:t xml:space="preserve">The levels of hire charges are reviewed annually. </w:t>
      </w:r>
    </w:p>
    <w:p w14:paraId="35E58868" w14:textId="77777777" w:rsidR="0014392F" w:rsidRDefault="0014392F" w:rsidP="0014392F">
      <w:pPr>
        <w:spacing w:after="0" w:line="240" w:lineRule="auto"/>
        <w:rPr>
          <w:b/>
          <w:bCs/>
          <w:szCs w:val="24"/>
          <w:lang w:val="en-US"/>
        </w:rPr>
      </w:pPr>
    </w:p>
    <w:p w14:paraId="686F892B" w14:textId="4CE630A8" w:rsidR="00E84366" w:rsidRDefault="00E84366" w:rsidP="0014392F">
      <w:pPr>
        <w:spacing w:after="0" w:line="240" w:lineRule="auto"/>
        <w:rPr>
          <w:b/>
          <w:bCs/>
          <w:szCs w:val="24"/>
          <w:lang w:val="en-US"/>
        </w:rPr>
      </w:pPr>
      <w:r>
        <w:rPr>
          <w:b/>
          <w:bCs/>
          <w:szCs w:val="24"/>
          <w:lang w:val="en-US"/>
        </w:rPr>
        <w:t xml:space="preserve">Reduced </w:t>
      </w:r>
      <w:r w:rsidR="0012044A">
        <w:rPr>
          <w:b/>
          <w:bCs/>
          <w:szCs w:val="24"/>
          <w:lang w:val="en-US"/>
        </w:rPr>
        <w:t>Charges</w:t>
      </w:r>
    </w:p>
    <w:p w14:paraId="6AF1C7AC" w14:textId="77777777" w:rsidR="0014392F" w:rsidRDefault="0014392F" w:rsidP="0014392F">
      <w:pPr>
        <w:spacing w:after="0" w:line="240" w:lineRule="auto"/>
        <w:rPr>
          <w:szCs w:val="24"/>
          <w:lang w:val="en-US"/>
        </w:rPr>
      </w:pPr>
    </w:p>
    <w:p w14:paraId="51236F6E" w14:textId="41AED36D" w:rsidR="00A871B2" w:rsidRDefault="00A871B2" w:rsidP="0014392F">
      <w:pPr>
        <w:spacing w:after="0" w:line="240" w:lineRule="auto"/>
        <w:rPr>
          <w:bCs/>
          <w:szCs w:val="24"/>
          <w:lang w:val="en-US"/>
        </w:rPr>
      </w:pPr>
      <w:r w:rsidRPr="0036258B">
        <w:rPr>
          <w:szCs w:val="24"/>
          <w:lang w:val="en-US"/>
        </w:rPr>
        <w:t xml:space="preserve">A reduced </w:t>
      </w:r>
      <w:r w:rsidR="0012044A">
        <w:rPr>
          <w:szCs w:val="24"/>
          <w:lang w:val="en-US"/>
        </w:rPr>
        <w:t>charge</w:t>
      </w:r>
      <w:r w:rsidR="00E84366">
        <w:rPr>
          <w:szCs w:val="24"/>
          <w:lang w:val="en-US"/>
        </w:rPr>
        <w:t>,</w:t>
      </w:r>
      <w:r w:rsidRPr="0036258B">
        <w:rPr>
          <w:szCs w:val="24"/>
          <w:lang w:val="en-US"/>
        </w:rPr>
        <w:t xml:space="preserve"> </w:t>
      </w:r>
      <w:r w:rsidR="00E84366">
        <w:rPr>
          <w:szCs w:val="24"/>
          <w:lang w:val="en-US"/>
        </w:rPr>
        <w:t xml:space="preserve">“the Parish Rate”, </w:t>
      </w:r>
      <w:r w:rsidRPr="00A871B2">
        <w:rPr>
          <w:szCs w:val="24"/>
          <w:lang w:val="en-US"/>
        </w:rPr>
        <w:t xml:space="preserve">applies to </w:t>
      </w:r>
      <w:r w:rsidR="00E84366">
        <w:rPr>
          <w:szCs w:val="24"/>
          <w:lang w:val="en-US"/>
        </w:rPr>
        <w:t xml:space="preserve">the </w:t>
      </w:r>
      <w:r w:rsidRPr="00A871B2">
        <w:rPr>
          <w:szCs w:val="24"/>
          <w:lang w:val="en-US"/>
        </w:rPr>
        <w:t>hir</w:t>
      </w:r>
      <w:r w:rsidR="00E84366">
        <w:rPr>
          <w:szCs w:val="24"/>
          <w:lang w:val="en-US"/>
        </w:rPr>
        <w:t>ing of the facilities b</w:t>
      </w:r>
      <w:r w:rsidRPr="00A871B2">
        <w:rPr>
          <w:szCs w:val="24"/>
          <w:lang w:val="en-US"/>
        </w:rPr>
        <w:t>y residents of Quainton Parish (as defined by the</w:t>
      </w:r>
      <w:r w:rsidRPr="00A871B2">
        <w:rPr>
          <w:bCs/>
          <w:szCs w:val="24"/>
          <w:lang w:val="en-US"/>
        </w:rPr>
        <w:t xml:space="preserve"> electoral register) for personal use or where it can be shown clearly that the majority of users within the hire are themselves residents, or the hire is beneficial to Quainton residents.</w:t>
      </w:r>
    </w:p>
    <w:p w14:paraId="2A671E6D" w14:textId="77777777" w:rsidR="0014392F" w:rsidRDefault="0014392F" w:rsidP="0014392F">
      <w:pPr>
        <w:spacing w:after="0" w:line="240" w:lineRule="auto"/>
        <w:rPr>
          <w:b/>
          <w:szCs w:val="24"/>
          <w:lang w:val="en-US"/>
        </w:rPr>
      </w:pPr>
    </w:p>
    <w:p w14:paraId="1D7F43DA" w14:textId="481A7593" w:rsidR="00A871B2" w:rsidRPr="0036258B" w:rsidRDefault="00A871B2" w:rsidP="0014392F">
      <w:pPr>
        <w:spacing w:after="0" w:line="240" w:lineRule="auto"/>
        <w:rPr>
          <w:b/>
          <w:szCs w:val="24"/>
          <w:lang w:val="en-US"/>
        </w:rPr>
      </w:pPr>
      <w:r w:rsidRPr="0036258B">
        <w:rPr>
          <w:b/>
          <w:szCs w:val="24"/>
          <w:lang w:val="en-US"/>
        </w:rPr>
        <w:t xml:space="preserve">The </w:t>
      </w:r>
      <w:r w:rsidR="00A55C73">
        <w:rPr>
          <w:b/>
          <w:szCs w:val="24"/>
          <w:lang w:val="en-US"/>
        </w:rPr>
        <w:t>W</w:t>
      </w:r>
      <w:r w:rsidRPr="0036258B">
        <w:rPr>
          <w:b/>
          <w:szCs w:val="24"/>
          <w:lang w:val="en-US"/>
        </w:rPr>
        <w:t xml:space="preserve">aiving of </w:t>
      </w:r>
      <w:r w:rsidR="00A55C73">
        <w:rPr>
          <w:b/>
          <w:szCs w:val="24"/>
          <w:lang w:val="en-US"/>
        </w:rPr>
        <w:t>H</w:t>
      </w:r>
      <w:r w:rsidRPr="0036258B">
        <w:rPr>
          <w:b/>
          <w:szCs w:val="24"/>
          <w:lang w:val="en-US"/>
        </w:rPr>
        <w:t xml:space="preserve">ire </w:t>
      </w:r>
      <w:r w:rsidR="00A55C73">
        <w:rPr>
          <w:b/>
          <w:szCs w:val="24"/>
          <w:lang w:val="en-US"/>
        </w:rPr>
        <w:t>C</w:t>
      </w:r>
      <w:r w:rsidRPr="0036258B">
        <w:rPr>
          <w:b/>
          <w:szCs w:val="24"/>
          <w:lang w:val="en-US"/>
        </w:rPr>
        <w:t>harges</w:t>
      </w:r>
    </w:p>
    <w:p w14:paraId="178C1E56" w14:textId="77777777" w:rsidR="0014392F" w:rsidRDefault="0014392F" w:rsidP="0014392F">
      <w:pPr>
        <w:spacing w:after="0" w:line="240" w:lineRule="auto"/>
        <w:rPr>
          <w:bCs/>
          <w:szCs w:val="24"/>
        </w:rPr>
      </w:pPr>
    </w:p>
    <w:p w14:paraId="4B8D7428" w14:textId="510713B6" w:rsidR="00E84366" w:rsidRDefault="00A871B2" w:rsidP="0014392F">
      <w:pPr>
        <w:spacing w:after="0" w:line="240" w:lineRule="auto"/>
        <w:rPr>
          <w:bCs/>
          <w:szCs w:val="24"/>
        </w:rPr>
      </w:pPr>
      <w:r>
        <w:rPr>
          <w:bCs/>
          <w:szCs w:val="24"/>
        </w:rPr>
        <w:t xml:space="preserve">It is recognised that </w:t>
      </w:r>
      <w:r w:rsidR="00E84366">
        <w:rPr>
          <w:bCs/>
          <w:szCs w:val="24"/>
        </w:rPr>
        <w:t xml:space="preserve">hire charges are required to be paid in order to maintain the hall and to ensure, as far as possible, that the hall continues to be available for the community into the future. In normal </w:t>
      </w:r>
      <w:r w:rsidR="0012044A">
        <w:rPr>
          <w:bCs/>
          <w:szCs w:val="24"/>
        </w:rPr>
        <w:t>circumstances,</w:t>
      </w:r>
      <w:r w:rsidR="00E84366">
        <w:rPr>
          <w:bCs/>
          <w:szCs w:val="24"/>
        </w:rPr>
        <w:t xml:space="preserve"> therefore, hire charges will not be waived.</w:t>
      </w:r>
    </w:p>
    <w:p w14:paraId="1384F221" w14:textId="77777777" w:rsidR="0014392F" w:rsidRDefault="0014392F" w:rsidP="0014392F">
      <w:pPr>
        <w:spacing w:after="0" w:line="240" w:lineRule="auto"/>
        <w:rPr>
          <w:bCs/>
          <w:szCs w:val="24"/>
        </w:rPr>
      </w:pPr>
    </w:p>
    <w:p w14:paraId="0AA3FFB8" w14:textId="59C91BA5" w:rsidR="00E255F5" w:rsidRDefault="0014392F" w:rsidP="0014392F">
      <w:pPr>
        <w:spacing w:after="0" w:line="240" w:lineRule="auto"/>
      </w:pPr>
      <w:r w:rsidRPr="00FE3986">
        <w:rPr>
          <w:bCs/>
          <w:szCs w:val="24"/>
        </w:rPr>
        <w:t>The waiving of hire charges will only be considered i</w:t>
      </w:r>
      <w:r w:rsidR="0012044A" w:rsidRPr="00FE3986">
        <w:rPr>
          <w:bCs/>
          <w:szCs w:val="24"/>
        </w:rPr>
        <w:t>n exceptional circumstances</w:t>
      </w:r>
      <w:r w:rsidR="0012044A" w:rsidRPr="00FE3986">
        <w:t xml:space="preserve"> i.e. those that are </w:t>
      </w:r>
      <w:r w:rsidR="007B1973" w:rsidRPr="00FE3986">
        <w:t xml:space="preserve">both </w:t>
      </w:r>
      <w:r w:rsidR="0012044A" w:rsidRPr="00FE3986">
        <w:t>highly unusual</w:t>
      </w:r>
      <w:r w:rsidR="007B1973" w:rsidRPr="00FE3986">
        <w:t xml:space="preserve"> </w:t>
      </w:r>
      <w:r w:rsidR="0012044A" w:rsidRPr="00FE3986">
        <w:t>and</w:t>
      </w:r>
      <w:r w:rsidR="0012044A" w:rsidRPr="007B1973">
        <w:t xml:space="preserve"> </w:t>
      </w:r>
      <w:r w:rsidR="00A55C73" w:rsidRPr="007B1973">
        <w:t>that</w:t>
      </w:r>
      <w:r w:rsidR="00A55C73">
        <w:t xml:space="preserve"> </w:t>
      </w:r>
      <w:r w:rsidR="0012044A">
        <w:t xml:space="preserve">are only likely to happen very infrequently e.g. </w:t>
      </w:r>
      <w:r w:rsidR="007B1973">
        <w:t>disasters</w:t>
      </w:r>
      <w:r w:rsidR="009E2D98">
        <w:t>, emergencies o</w:t>
      </w:r>
      <w:r w:rsidR="0012044A">
        <w:t xml:space="preserve">r </w:t>
      </w:r>
      <w:r w:rsidR="009E2D98">
        <w:t xml:space="preserve">other </w:t>
      </w:r>
      <w:r w:rsidR="007B1973">
        <w:t>significant activities or events</w:t>
      </w:r>
      <w:r w:rsidR="009E2D98">
        <w:t>, either nationally or locally</w:t>
      </w:r>
      <w:r w:rsidR="0012044A">
        <w:t xml:space="preserve">. Where an individual </w:t>
      </w:r>
      <w:r w:rsidR="00E255F5">
        <w:t>or an</w:t>
      </w:r>
      <w:r w:rsidR="0012044A">
        <w:t xml:space="preserve"> organisation </w:t>
      </w:r>
      <w:r>
        <w:t>requests</w:t>
      </w:r>
      <w:r w:rsidR="0012044A">
        <w:t xml:space="preserve"> a waiver of the hire charge, they should apply in writing to the Chair</w:t>
      </w:r>
      <w:r w:rsidR="00E255F5">
        <w:t xml:space="preserve"> and the request shall be considered at the next meeting of the committee.</w:t>
      </w:r>
    </w:p>
    <w:p w14:paraId="159BEAB8" w14:textId="77777777" w:rsidR="0014392F" w:rsidRDefault="0014392F" w:rsidP="0014392F">
      <w:pPr>
        <w:spacing w:after="0" w:line="240" w:lineRule="auto"/>
      </w:pPr>
    </w:p>
    <w:p w14:paraId="39CB73BD" w14:textId="6E4985B9" w:rsidR="0012044A" w:rsidRDefault="00E255F5" w:rsidP="0014392F">
      <w:pPr>
        <w:spacing w:after="0" w:line="240" w:lineRule="auto"/>
      </w:pPr>
      <w:r>
        <w:t xml:space="preserve">The decision of the committee shall be final.  </w:t>
      </w:r>
      <w:r w:rsidR="0012044A">
        <w:t xml:space="preserve"> </w:t>
      </w:r>
    </w:p>
    <w:p w14:paraId="1C064691" w14:textId="77777777" w:rsidR="0014392F" w:rsidRDefault="0014392F" w:rsidP="0014392F">
      <w:pPr>
        <w:spacing w:after="0" w:line="240" w:lineRule="auto"/>
        <w:rPr>
          <w:rFonts w:eastAsia="ヒラギノ角ゴ Pro W3" w:cs="Times New Roman"/>
          <w:szCs w:val="24"/>
        </w:rPr>
      </w:pPr>
    </w:p>
    <w:p w14:paraId="281CE9A6" w14:textId="0F8C62E0" w:rsidR="00CF5BBF" w:rsidRPr="00CF5BBF" w:rsidRDefault="00CF5BBF" w:rsidP="0014392F">
      <w:pPr>
        <w:spacing w:after="0" w:line="240" w:lineRule="auto"/>
        <w:rPr>
          <w:rFonts w:eastAsia="ヒラギノ角ゴ Pro W3" w:cs="Times New Roman"/>
          <w:szCs w:val="24"/>
        </w:rPr>
      </w:pPr>
      <w:r w:rsidRPr="00CF5BBF">
        <w:rPr>
          <w:rFonts w:eastAsia="ヒラギノ角ゴ Pro W3" w:cs="Times New Roman"/>
          <w:szCs w:val="24"/>
        </w:rPr>
        <w:t xml:space="preserve">Adopted on: </w:t>
      </w:r>
      <w:r w:rsidR="00FE3986">
        <w:rPr>
          <w:rFonts w:eastAsia="ヒラギノ角ゴ Pro W3" w:cs="Times New Roman"/>
          <w:szCs w:val="24"/>
        </w:rPr>
        <w:t>28</w:t>
      </w:r>
      <w:r w:rsidR="00E84366">
        <w:rPr>
          <w:rFonts w:eastAsia="ヒラギノ角ゴ Pro W3" w:cs="Times New Roman"/>
          <w:szCs w:val="24"/>
        </w:rPr>
        <w:t xml:space="preserve"> January 2024</w:t>
      </w:r>
    </w:p>
    <w:p w14:paraId="3A9FF3B7" w14:textId="013CCDE3" w:rsidR="00CF5BBF" w:rsidRPr="007B1DAC" w:rsidRDefault="00CF5BBF" w:rsidP="0014392F">
      <w:pPr>
        <w:spacing w:after="0" w:line="240" w:lineRule="auto"/>
        <w:rPr>
          <w:rFonts w:eastAsia="ヒラギノ角ゴ Pro W3" w:cs="Times New Roman"/>
          <w:szCs w:val="24"/>
        </w:rPr>
      </w:pPr>
      <w:r w:rsidRPr="00CF5BBF">
        <w:rPr>
          <w:rFonts w:eastAsia="ヒラギノ角ゴ Pro W3" w:cs="Times New Roman"/>
          <w:color w:val="000000"/>
          <w:szCs w:val="24"/>
        </w:rPr>
        <w:t>Last reviewed</w:t>
      </w:r>
      <w:r w:rsidR="00E84366">
        <w:rPr>
          <w:rFonts w:eastAsia="ヒラギノ角ゴ Pro W3" w:cs="Times New Roman"/>
          <w:color w:val="000000"/>
          <w:szCs w:val="24"/>
        </w:rPr>
        <w:t>: Not applicable</w:t>
      </w:r>
      <w:r w:rsidRPr="00CF5BBF">
        <w:rPr>
          <w:rFonts w:eastAsia="ヒラギノ角ゴ Pro W3" w:cs="Times New Roman"/>
          <w:szCs w:val="24"/>
        </w:rPr>
        <w:t xml:space="preserve"> </w:t>
      </w:r>
    </w:p>
    <w:p w14:paraId="5D40DE4A" w14:textId="38CD6E3E" w:rsidR="00CF5BBF" w:rsidRPr="007B1DAC" w:rsidRDefault="00CF5BBF" w:rsidP="0014392F">
      <w:pPr>
        <w:spacing w:after="0" w:line="240" w:lineRule="auto"/>
        <w:rPr>
          <w:rFonts w:eastAsia="ヒラギノ角ゴ Pro W3" w:cs="Times New Roman"/>
          <w:szCs w:val="24"/>
        </w:rPr>
      </w:pPr>
      <w:r w:rsidRPr="007B1DAC">
        <w:rPr>
          <w:rFonts w:eastAsia="ヒラギノ角ゴ Pro W3" w:cs="Times New Roman"/>
          <w:szCs w:val="24"/>
        </w:rPr>
        <w:t>Next review due</w:t>
      </w:r>
      <w:r w:rsidR="000E7BFD" w:rsidRPr="007B1DAC">
        <w:rPr>
          <w:rFonts w:eastAsia="ヒラギノ角ゴ Pro W3" w:cs="Times New Roman"/>
          <w:szCs w:val="24"/>
        </w:rPr>
        <w:t xml:space="preserve">: </w:t>
      </w:r>
      <w:r w:rsidR="00E84366">
        <w:rPr>
          <w:rFonts w:eastAsia="ヒラギノ角ゴ Pro W3" w:cs="Times New Roman"/>
          <w:szCs w:val="24"/>
        </w:rPr>
        <w:t>January 2026</w:t>
      </w:r>
    </w:p>
    <w:p w14:paraId="1C9C9C92" w14:textId="77777777" w:rsidR="00F859A5" w:rsidRDefault="00F859A5" w:rsidP="0014392F">
      <w:pPr>
        <w:spacing w:after="0" w:line="240" w:lineRule="auto"/>
        <w:rPr>
          <w:rFonts w:eastAsia="ヒラギノ角ゴ Pro W3" w:cs="Times New Roman"/>
          <w:szCs w:val="24"/>
        </w:rPr>
      </w:pPr>
    </w:p>
    <w:p w14:paraId="3F2F3ECB" w14:textId="77777777" w:rsidR="00F859A5" w:rsidRDefault="00F859A5" w:rsidP="0014392F">
      <w:pPr>
        <w:spacing w:after="0" w:line="240" w:lineRule="auto"/>
        <w:rPr>
          <w:rFonts w:eastAsia="ヒラギノ角ゴ Pro W3" w:cs="Times New Roman"/>
          <w:szCs w:val="24"/>
        </w:rPr>
      </w:pPr>
      <w:r>
        <w:rPr>
          <w:rFonts w:eastAsia="ヒラギノ角ゴ Pro W3" w:cs="Times New Roman"/>
          <w:szCs w:val="24"/>
        </w:rPr>
        <w:t>Table of amendments</w:t>
      </w:r>
    </w:p>
    <w:tbl>
      <w:tblPr>
        <w:tblStyle w:val="TableGrid"/>
        <w:tblW w:w="0" w:type="auto"/>
        <w:tblLook w:val="04A0" w:firstRow="1" w:lastRow="0" w:firstColumn="1" w:lastColumn="0" w:noHBand="0" w:noVBand="1"/>
      </w:tblPr>
      <w:tblGrid>
        <w:gridCol w:w="3088"/>
        <w:gridCol w:w="5667"/>
      </w:tblGrid>
      <w:tr w:rsidR="00F859A5" w14:paraId="52E9BCFA" w14:textId="77777777" w:rsidTr="00FE22B3">
        <w:tc>
          <w:tcPr>
            <w:tcW w:w="3088" w:type="dxa"/>
          </w:tcPr>
          <w:p w14:paraId="22B82508" w14:textId="77777777" w:rsidR="00F859A5" w:rsidRDefault="00F859A5" w:rsidP="0014392F">
            <w:r>
              <w:t>Date</w:t>
            </w:r>
          </w:p>
        </w:tc>
        <w:tc>
          <w:tcPr>
            <w:tcW w:w="5667" w:type="dxa"/>
          </w:tcPr>
          <w:p w14:paraId="0D716985" w14:textId="77777777" w:rsidR="00F859A5" w:rsidRDefault="00F859A5" w:rsidP="0014392F">
            <w:r>
              <w:t>Amendment</w:t>
            </w:r>
          </w:p>
        </w:tc>
      </w:tr>
      <w:tr w:rsidR="00F859A5" w14:paraId="4550AB27" w14:textId="77777777" w:rsidTr="00FE22B3">
        <w:tc>
          <w:tcPr>
            <w:tcW w:w="3088" w:type="dxa"/>
          </w:tcPr>
          <w:p w14:paraId="6C039C5B" w14:textId="3C0B0208" w:rsidR="00F859A5" w:rsidRDefault="00F859A5" w:rsidP="0014392F"/>
        </w:tc>
        <w:tc>
          <w:tcPr>
            <w:tcW w:w="5667" w:type="dxa"/>
          </w:tcPr>
          <w:p w14:paraId="61925195" w14:textId="0D59B571" w:rsidR="00F859A5" w:rsidRDefault="00F859A5" w:rsidP="0014392F"/>
        </w:tc>
      </w:tr>
    </w:tbl>
    <w:p w14:paraId="20C165DB" w14:textId="77777777" w:rsidR="00F859A5" w:rsidRPr="00CF5BBF" w:rsidRDefault="00F859A5" w:rsidP="00F859A5">
      <w:pPr>
        <w:spacing w:after="0" w:line="240" w:lineRule="auto"/>
        <w:rPr>
          <w:rFonts w:eastAsia="ヒラギノ角ゴ Pro W3" w:cs="Times New Roman"/>
          <w:szCs w:val="24"/>
        </w:rPr>
      </w:pPr>
    </w:p>
    <w:sectPr w:rsidR="00F859A5" w:rsidRPr="00CF5BBF" w:rsidSect="008D6E92">
      <w:pgSz w:w="11906" w:h="16838"/>
      <w:pgMar w:top="567"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A63CC"/>
    <w:multiLevelType w:val="hybridMultilevel"/>
    <w:tmpl w:val="866A10D4"/>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
    <w:nsid w:val="21D352C6"/>
    <w:multiLevelType w:val="hybridMultilevel"/>
    <w:tmpl w:val="840EAE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E71"/>
    <w:rsid w:val="000E7BFD"/>
    <w:rsid w:val="000F232E"/>
    <w:rsid w:val="0012044A"/>
    <w:rsid w:val="0014392F"/>
    <w:rsid w:val="00156BA3"/>
    <w:rsid w:val="002111BB"/>
    <w:rsid w:val="00252723"/>
    <w:rsid w:val="002679F8"/>
    <w:rsid w:val="00333871"/>
    <w:rsid w:val="0036258B"/>
    <w:rsid w:val="003D0ADF"/>
    <w:rsid w:val="00440DCC"/>
    <w:rsid w:val="0055045F"/>
    <w:rsid w:val="005A0E68"/>
    <w:rsid w:val="00662C9B"/>
    <w:rsid w:val="006B3CC3"/>
    <w:rsid w:val="00712717"/>
    <w:rsid w:val="007B1973"/>
    <w:rsid w:val="007B1DAC"/>
    <w:rsid w:val="00821A55"/>
    <w:rsid w:val="00830893"/>
    <w:rsid w:val="00864627"/>
    <w:rsid w:val="008D6E92"/>
    <w:rsid w:val="0091526D"/>
    <w:rsid w:val="009E2D98"/>
    <w:rsid w:val="00A55C73"/>
    <w:rsid w:val="00A871B2"/>
    <w:rsid w:val="00AA3D0C"/>
    <w:rsid w:val="00AC0E71"/>
    <w:rsid w:val="00AE30E3"/>
    <w:rsid w:val="00B23ACC"/>
    <w:rsid w:val="00BF7A4D"/>
    <w:rsid w:val="00C6287A"/>
    <w:rsid w:val="00C8513F"/>
    <w:rsid w:val="00CF5BBF"/>
    <w:rsid w:val="00D95BE0"/>
    <w:rsid w:val="00E0677A"/>
    <w:rsid w:val="00E255F5"/>
    <w:rsid w:val="00E84366"/>
    <w:rsid w:val="00E9519A"/>
    <w:rsid w:val="00ED52A1"/>
    <w:rsid w:val="00F40221"/>
    <w:rsid w:val="00F51833"/>
    <w:rsid w:val="00F63B03"/>
    <w:rsid w:val="00F859A5"/>
    <w:rsid w:val="00FA61B5"/>
    <w:rsid w:val="00FE39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4E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3B03"/>
    <w:pPr>
      <w:ind w:left="720"/>
      <w:contextualSpacing/>
    </w:pPr>
  </w:style>
  <w:style w:type="paragraph" w:styleId="BalloonText">
    <w:name w:val="Balloon Text"/>
    <w:basedOn w:val="Normal"/>
    <w:link w:val="BalloonTextChar"/>
    <w:uiPriority w:val="99"/>
    <w:semiHidden/>
    <w:unhideWhenUsed/>
    <w:rsid w:val="00F518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1833"/>
    <w:rPr>
      <w:rFonts w:ascii="Tahoma" w:hAnsi="Tahoma" w:cs="Tahoma"/>
      <w:sz w:val="16"/>
      <w:szCs w:val="16"/>
    </w:rPr>
  </w:style>
  <w:style w:type="table" w:styleId="TableGrid">
    <w:name w:val="Table Grid"/>
    <w:basedOn w:val="TableNormal"/>
    <w:uiPriority w:val="59"/>
    <w:rsid w:val="00F859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62C9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3B03"/>
    <w:pPr>
      <w:ind w:left="720"/>
      <w:contextualSpacing/>
    </w:pPr>
  </w:style>
  <w:style w:type="paragraph" w:styleId="BalloonText">
    <w:name w:val="Balloon Text"/>
    <w:basedOn w:val="Normal"/>
    <w:link w:val="BalloonTextChar"/>
    <w:uiPriority w:val="99"/>
    <w:semiHidden/>
    <w:unhideWhenUsed/>
    <w:rsid w:val="00F518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1833"/>
    <w:rPr>
      <w:rFonts w:ascii="Tahoma" w:hAnsi="Tahoma" w:cs="Tahoma"/>
      <w:sz w:val="16"/>
      <w:szCs w:val="16"/>
    </w:rPr>
  </w:style>
  <w:style w:type="table" w:styleId="TableGrid">
    <w:name w:val="Table Grid"/>
    <w:basedOn w:val="TableNormal"/>
    <w:uiPriority w:val="59"/>
    <w:rsid w:val="00F859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62C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090100">
      <w:bodyDiv w:val="1"/>
      <w:marLeft w:val="0"/>
      <w:marRight w:val="0"/>
      <w:marTop w:val="0"/>
      <w:marBottom w:val="0"/>
      <w:divBdr>
        <w:top w:val="none" w:sz="0" w:space="0" w:color="auto"/>
        <w:left w:val="none" w:sz="0" w:space="0" w:color="auto"/>
        <w:bottom w:val="none" w:sz="0" w:space="0" w:color="auto"/>
        <w:right w:val="none" w:sz="0" w:space="0" w:color="auto"/>
      </w:divBdr>
    </w:div>
    <w:div w:id="617178496">
      <w:bodyDiv w:val="1"/>
      <w:marLeft w:val="0"/>
      <w:marRight w:val="0"/>
      <w:marTop w:val="0"/>
      <w:marBottom w:val="0"/>
      <w:divBdr>
        <w:top w:val="none" w:sz="0" w:space="0" w:color="auto"/>
        <w:left w:val="none" w:sz="0" w:space="0" w:color="auto"/>
        <w:bottom w:val="none" w:sz="0" w:space="0" w:color="auto"/>
        <w:right w:val="none" w:sz="0" w:space="0" w:color="auto"/>
      </w:divBdr>
    </w:div>
    <w:div w:id="1393121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293</Words>
  <Characters>1674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Heirons</dc:creator>
  <cp:lastModifiedBy>Nick Heirons</cp:lastModifiedBy>
  <cp:revision>2</cp:revision>
  <dcterms:created xsi:type="dcterms:W3CDTF">2024-03-07T12:18:00Z</dcterms:created>
  <dcterms:modified xsi:type="dcterms:W3CDTF">2024-03-07T12:18:00Z</dcterms:modified>
</cp:coreProperties>
</file>